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E" w:rsidRDefault="00B025BE" w:rsidP="00B025BE">
      <w:pPr>
        <w:pStyle w:val="a3"/>
        <w:keepNext/>
        <w:keepLines/>
        <w:tabs>
          <w:tab w:val="left" w:pos="8789"/>
        </w:tabs>
        <w:jc w:val="righ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:rsidR="00B025BE" w:rsidRPr="009912D2" w:rsidRDefault="00B025BE" w:rsidP="00B025BE">
      <w:pPr>
        <w:pStyle w:val="a3"/>
        <w:keepNext/>
        <w:keepLines/>
        <w:tabs>
          <w:tab w:val="left" w:pos="8789"/>
        </w:tabs>
        <w:jc w:val="righ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П</w:t>
      </w:r>
      <w:r w:rsidRPr="009912D2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</w:t>
      </w:r>
    </w:p>
    <w:p w:rsidR="00B025BE" w:rsidRDefault="00B025BE" w:rsidP="00B025BE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bCs/>
          <w:i/>
          <w:iCs/>
          <w:sz w:val="18"/>
          <w:szCs w:val="18"/>
        </w:rPr>
        <w:t xml:space="preserve">к Порядку </w:t>
      </w:r>
      <w:r w:rsidRPr="00AD7409">
        <w:rPr>
          <w:b/>
          <w:i/>
          <w:sz w:val="18"/>
          <w:szCs w:val="18"/>
        </w:rPr>
        <w:t xml:space="preserve">отбора Банков-партнеров, требования </w:t>
      </w:r>
    </w:p>
    <w:p w:rsidR="00B025BE" w:rsidRDefault="00B025BE" w:rsidP="00B025BE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к ним и условия взаимодействия с Автономной некоммерческой организацией </w:t>
      </w:r>
    </w:p>
    <w:p w:rsidR="00B025BE" w:rsidRDefault="00B025BE" w:rsidP="00B025BE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«Агентство по развитию системы гарантий и </w:t>
      </w:r>
      <w:proofErr w:type="spellStart"/>
      <w:r w:rsidRPr="00AD7409">
        <w:rPr>
          <w:b/>
          <w:i/>
          <w:sz w:val="18"/>
          <w:szCs w:val="18"/>
        </w:rPr>
        <w:t>Микрокредитная</w:t>
      </w:r>
      <w:proofErr w:type="spellEnd"/>
      <w:r w:rsidRPr="00AD7409">
        <w:rPr>
          <w:b/>
          <w:i/>
          <w:sz w:val="18"/>
          <w:szCs w:val="18"/>
        </w:rPr>
        <w:t xml:space="preserve"> компания</w:t>
      </w:r>
    </w:p>
    <w:p w:rsidR="00B025BE" w:rsidRDefault="00B025BE" w:rsidP="00B025BE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 для субъектов малого и среднего предпринимательства </w:t>
      </w:r>
    </w:p>
    <w:p w:rsidR="00B025BE" w:rsidRDefault="00B025BE" w:rsidP="00B025BE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>Нижегородской области</w:t>
      </w:r>
      <w:r>
        <w:rPr>
          <w:b/>
          <w:i/>
          <w:sz w:val="18"/>
          <w:szCs w:val="18"/>
        </w:rPr>
        <w:t>»</w:t>
      </w:r>
      <w:r w:rsidRPr="00AD7409">
        <w:rPr>
          <w:b/>
          <w:i/>
          <w:sz w:val="18"/>
          <w:szCs w:val="18"/>
        </w:rPr>
        <w:t xml:space="preserve"> по предоставлению поручительств</w:t>
      </w:r>
    </w:p>
    <w:p w:rsidR="00B025BE" w:rsidRDefault="00B025BE" w:rsidP="00B025BE">
      <w:pPr>
        <w:keepNext/>
        <w:keepLines/>
      </w:pPr>
    </w:p>
    <w:p w:rsidR="00B025BE" w:rsidRDefault="00B025BE" w:rsidP="00B025BE">
      <w:pPr>
        <w:ind w:right="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 № ______</w:t>
      </w: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договорам о предоставлении банковской гарантии</w:t>
      </w:r>
    </w:p>
    <w:p w:rsidR="00B025BE" w:rsidRDefault="00B025BE" w:rsidP="00B025BE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5BE" w:rsidRPr="00523A80" w:rsidTr="00922976">
        <w:tc>
          <w:tcPr>
            <w:tcW w:w="4785" w:type="dxa"/>
            <w:shd w:val="clear" w:color="auto" w:fill="auto"/>
            <w:hideMark/>
          </w:tcPr>
          <w:p w:rsidR="00B025BE" w:rsidRPr="00523A80" w:rsidRDefault="00B025BE" w:rsidP="00922976">
            <w:pPr>
              <w:widowControl w:val="0"/>
              <w:spacing w:line="380" w:lineRule="atLeast"/>
              <w:rPr>
                <w:color w:val="000000"/>
                <w:sz w:val="26"/>
                <w:szCs w:val="26"/>
              </w:rPr>
            </w:pPr>
            <w:r w:rsidRPr="00523A80">
              <w:rPr>
                <w:sz w:val="26"/>
                <w:szCs w:val="26"/>
              </w:rPr>
              <w:t>город Нижний Новгород</w:t>
            </w:r>
          </w:p>
        </w:tc>
        <w:tc>
          <w:tcPr>
            <w:tcW w:w="4786" w:type="dxa"/>
            <w:shd w:val="clear" w:color="auto" w:fill="auto"/>
            <w:hideMark/>
          </w:tcPr>
          <w:p w:rsidR="00B025BE" w:rsidRPr="00523A80" w:rsidRDefault="00B025BE" w:rsidP="00922976">
            <w:pPr>
              <w:widowControl w:val="0"/>
              <w:spacing w:line="380" w:lineRule="atLeast"/>
              <w:jc w:val="right"/>
              <w:rPr>
                <w:color w:val="000000"/>
                <w:sz w:val="26"/>
                <w:szCs w:val="26"/>
              </w:rPr>
            </w:pPr>
            <w:r w:rsidRPr="00523A80">
              <w:rPr>
                <w:sz w:val="26"/>
                <w:szCs w:val="26"/>
              </w:rPr>
              <w:t xml:space="preserve">      «_____» _________________ 201__ г.</w:t>
            </w:r>
          </w:p>
        </w:tc>
      </w:tr>
    </w:tbl>
    <w:p w:rsidR="00B025BE" w:rsidRDefault="00B025BE" w:rsidP="00B025BE">
      <w:pPr>
        <w:spacing w:line="380" w:lineRule="atLeast"/>
        <w:rPr>
          <w:color w:val="000000"/>
          <w:sz w:val="26"/>
          <w:szCs w:val="26"/>
        </w:rPr>
      </w:pPr>
    </w:p>
    <w:p w:rsidR="00B025BE" w:rsidRDefault="00B025BE" w:rsidP="00B025BE">
      <w:pPr>
        <w:spacing w:line="380" w:lineRule="atLeast"/>
        <w:jc w:val="both"/>
        <w:rPr>
          <w:sz w:val="26"/>
          <w:szCs w:val="26"/>
        </w:rPr>
      </w:pPr>
    </w:p>
    <w:p w:rsidR="00B025BE" w:rsidRDefault="00B025BE" w:rsidP="00B025BE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Автономная некоммерческая организация «Агентство по развитию системы гарантий и </w:t>
      </w:r>
      <w:proofErr w:type="spellStart"/>
      <w:r>
        <w:rPr>
          <w:b/>
          <w:sz w:val="26"/>
          <w:szCs w:val="26"/>
        </w:rPr>
        <w:t>Микрокредитная</w:t>
      </w:r>
      <w:proofErr w:type="spellEnd"/>
      <w:r>
        <w:rPr>
          <w:b/>
          <w:sz w:val="26"/>
          <w:szCs w:val="26"/>
        </w:rPr>
        <w:t xml:space="preserve"> компания для субъектов малого и среднего предпринимательства Нижегородской области»,</w:t>
      </w:r>
      <w:r>
        <w:rPr>
          <w:sz w:val="26"/>
          <w:szCs w:val="26"/>
        </w:rPr>
        <w:t xml:space="preserve"> </w:t>
      </w:r>
      <w:r>
        <w:rPr>
          <w:bCs/>
        </w:rPr>
        <w:t>в дальнейшем именуемая «Агентство, РГО», в лице директора Назарова Алексея Ивановича, действующего на основании Устава,</w:t>
      </w:r>
      <w:r>
        <w:rPr>
          <w:b/>
          <w:bCs/>
        </w:rPr>
        <w:t xml:space="preserve"> </w:t>
      </w:r>
      <w:r>
        <w:rPr>
          <w:sz w:val="26"/>
          <w:szCs w:val="26"/>
        </w:rPr>
        <w:t xml:space="preserve"> с одной стороны</w:t>
      </w:r>
      <w:r w:rsidRPr="003F44E0">
        <w:rPr>
          <w:sz w:val="26"/>
          <w:szCs w:val="26"/>
        </w:rPr>
        <w:t xml:space="preserve">, и </w:t>
      </w:r>
      <w:r w:rsidRPr="003F44E0">
        <w:rPr>
          <w:b/>
          <w:bCs/>
        </w:rPr>
        <w:t>_______________________</w:t>
      </w:r>
      <w:r w:rsidRPr="003F44E0">
        <w:rPr>
          <w:sz w:val="26"/>
          <w:szCs w:val="26"/>
        </w:rPr>
        <w:t>, генеральная лицензия Центрального банка Российской Федерации № _________, в лице</w:t>
      </w:r>
      <w:r w:rsidRPr="003F44E0">
        <w:rPr>
          <w:b/>
        </w:rPr>
        <w:t xml:space="preserve"> </w:t>
      </w:r>
      <w:r w:rsidRPr="003F44E0">
        <w:t>__________________________</w:t>
      </w:r>
      <w:r w:rsidRPr="003F44E0">
        <w:rPr>
          <w:sz w:val="26"/>
          <w:szCs w:val="26"/>
        </w:rPr>
        <w:t>, действующего на основании</w:t>
      </w:r>
      <w:r w:rsidRPr="003F44E0">
        <w:rPr>
          <w:rFonts w:hint="eastAsia"/>
        </w:rPr>
        <w:t xml:space="preserve"> </w:t>
      </w:r>
      <w:r w:rsidRPr="003F44E0">
        <w:rPr>
          <w:sz w:val="26"/>
          <w:szCs w:val="26"/>
        </w:rPr>
        <w:t>_____________________________, в дальнейшем именуемое «Банк», с другой стороны, вместе и по отдельности</w:t>
      </w:r>
      <w:proofErr w:type="gramEnd"/>
      <w:r w:rsidRPr="003F44E0">
        <w:rPr>
          <w:sz w:val="26"/>
          <w:szCs w:val="26"/>
        </w:rPr>
        <w:t xml:space="preserve"> именуемые «Стороны», заключили настоящее Соглашение о порядке сотрудничества</w:t>
      </w:r>
      <w:r>
        <w:rPr>
          <w:sz w:val="26"/>
          <w:szCs w:val="26"/>
        </w:rPr>
        <w:t xml:space="preserve"> по программе предоставления поручительств по договорам о предоставлении банковской гарантии (далее – Соглашение) о нижеследующем.</w:t>
      </w:r>
    </w:p>
    <w:p w:rsidR="00B025BE" w:rsidRDefault="00B025BE" w:rsidP="00B025BE">
      <w:pPr>
        <w:keepNext/>
        <w:keepLines/>
        <w:jc w:val="center"/>
        <w:outlineLvl w:val="0"/>
        <w:rPr>
          <w:bCs/>
          <w:sz w:val="26"/>
          <w:szCs w:val="26"/>
        </w:rPr>
      </w:pPr>
    </w:p>
    <w:p w:rsidR="00B025BE" w:rsidRDefault="00B025BE" w:rsidP="00B025B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Цели Соглашения</w:t>
      </w:r>
    </w:p>
    <w:p w:rsidR="00B025BE" w:rsidRDefault="00B025BE" w:rsidP="00B025BE">
      <w:pPr>
        <w:rPr>
          <w:sz w:val="26"/>
          <w:szCs w:val="26"/>
        </w:rPr>
      </w:pPr>
    </w:p>
    <w:p w:rsidR="00B025BE" w:rsidRDefault="00B025BE" w:rsidP="00B025BE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Нижегородской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proofErr w:type="gramStart"/>
      <w:r>
        <w:rPr>
          <w:sz w:val="26"/>
          <w:szCs w:val="26"/>
        </w:rPr>
        <w:t>Для реализации цели, предусмотренной подпунктом 1.1 настоящего Соглашения,  РГО разработана программа содействия развитию системы гарантий для субъектов МСП и организаций инфраструктуры поддержки субъектов МСП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и организаций инфраструктуры поддержки субъектов МСП по договорам о предоставлении банковской гарантии.</w:t>
      </w:r>
      <w:proofErr w:type="gramEnd"/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Настоящее Соглашение регламентирует участие Банка в программе РГО в качестве партнёра.</w:t>
      </w:r>
    </w:p>
    <w:p w:rsidR="00B025BE" w:rsidRDefault="00B025BE" w:rsidP="00B025BE">
      <w:pPr>
        <w:jc w:val="both"/>
        <w:rPr>
          <w:sz w:val="26"/>
          <w:szCs w:val="26"/>
        </w:rPr>
      </w:pP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Программа РГО</w:t>
      </w:r>
    </w:p>
    <w:p w:rsidR="00B025BE" w:rsidRDefault="00B025BE" w:rsidP="00B025BE">
      <w:pPr>
        <w:jc w:val="center"/>
        <w:rPr>
          <w:sz w:val="26"/>
          <w:szCs w:val="26"/>
        </w:rPr>
      </w:pP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 и организаций инфраструктуры поддержки субъектов МСП по договорам о предоставлении банковской гарантии. В этих целях уполномоченными органами РГО утверждаются: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требования к субъектам МСП и заявкам на предоставление банковской гарантии, по которым РГО предоставляет поручительства;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общий лимит поручительств (максимальный совокупный объём всех действующих поручительств РГО) и порядок его изменения;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лимит партнёра РГО - максимальный объем поручительств партнёра Фонда;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внутренние нормативные документы, регламентирующие порядок и условия предоставления поручительств;</w:t>
      </w:r>
    </w:p>
    <w:p w:rsidR="00B025BE" w:rsidRDefault="00B025BE" w:rsidP="00B025BE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- типовая форма договора поручительства по договору о предоставлении банковской гарантии.</w:t>
      </w:r>
    </w:p>
    <w:p w:rsidR="00B025BE" w:rsidRDefault="00B025BE" w:rsidP="00B025BE">
      <w:pPr>
        <w:jc w:val="both"/>
        <w:rPr>
          <w:sz w:val="26"/>
          <w:szCs w:val="26"/>
        </w:rPr>
      </w:pP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3. Принципы взаимодействия Сторон</w:t>
      </w:r>
    </w:p>
    <w:p w:rsidR="00B025BE" w:rsidRDefault="00B025BE" w:rsidP="00B025BE">
      <w:pPr>
        <w:jc w:val="center"/>
        <w:rPr>
          <w:sz w:val="26"/>
          <w:szCs w:val="26"/>
        </w:rPr>
      </w:pP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РГО ежеквартально предоставляет по запросу Банка информацию: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объёме действующих обязательств перед всеми партнёрами Фонда по состоянию на последний отчётный период (квартал);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 текущих (оставшихся) объёмах лимита поручительств на партнёра РГО.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Банк ежеквартально предоставляет по запросу РГО информацию: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об объёме банковских гарантий, выданных под поручительство РГО за прошедший период (квартал);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объёме банковских гарантий, выданных Банком субъектам МСП и организациям инфраструктуры поддержки субъектов МСП за прошедший период (квартал) без поручительства РГО;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количестве субъектов МСП и организаций инфраструктуры поддержки субъектов МСП, заключивших договоры о предоставлении банковской гарантии по программе РГО за прошедший период (квартал);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 причинах отказов в предоставлении банковских гарантий субъектам МСП и организациям инфраструктуры поддержки субъектов МСП (обобщенная информация) за прошедший период (квартал);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об общем объёме просроченных и неисполненных субъектами МСП и организациями инфраструктуры поддержки субъектов МСП обязательств по договорам о предоставлении банковской гарантии, выданным под поручительство РГО;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B025BE" w:rsidRDefault="00B025BE" w:rsidP="00B025BE">
      <w:pPr>
        <w:jc w:val="both"/>
        <w:rPr>
          <w:sz w:val="26"/>
          <w:szCs w:val="26"/>
        </w:rPr>
      </w:pP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Обязанности Сторон</w:t>
      </w:r>
    </w:p>
    <w:p w:rsidR="00B025BE" w:rsidRDefault="00B025BE" w:rsidP="00B025BE">
      <w:pPr>
        <w:jc w:val="center"/>
        <w:rPr>
          <w:sz w:val="26"/>
          <w:szCs w:val="26"/>
        </w:rPr>
      </w:pP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РГО обязуется: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4.1.1. Обеспечить единые принципы участия банков-партнёров в программе РГО.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4.1.2. Проводить активную политику по информированию субъектов МСП и организаций инфраструктуры поддержки субъектов МСП о программе РГО;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4.1.4. Использовать ссылки на Банк 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Банка на сайте РГО.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4.1.7. По запросу Банка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договорам о предоставлении банковской гарантии, если это не противоречит требованиям действующего законодательства Российской Федерации.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Банк обязуется:</w:t>
      </w:r>
    </w:p>
    <w:p w:rsidR="00B025BE" w:rsidRDefault="00B025BE" w:rsidP="00B025B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4.2.1. Обеспечивать выдачу банковских гарантий субъектам МСП и организациям инфраструктуры поддержки субъектов МСП с привлечением в качестве обеспечения таких гарантий поручительств РГО путём заключения договоров поручительства по типовой форме, утвержденной уполномоченным органом РГО.</w:t>
      </w:r>
      <w:r>
        <w:rPr>
          <w:b/>
          <w:sz w:val="26"/>
          <w:szCs w:val="26"/>
        </w:rPr>
        <w:t xml:space="preserve"> 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4.2.2. Оказывать информационную и консультационную поддержку субъектам МСП и организациям инфраструктуры поддержки субъектов МСП, в определении предпочтительных форм финансирования проектов и текущей деятельности.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4.2.4. Проводить взвешенную и осмотрительную политику предоставления банковских гарантий субъектам МСП и организациям инфраструктуры поддержки субъектов МСП по программе РГО.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4.2.5. Обеспечить создание условий для внедрения перспективных банковских продуктов и технологий обслуживания субъектов МСП и организаций инфраструктуры поддержки субъектов МСП.</w:t>
      </w:r>
    </w:p>
    <w:p w:rsidR="00B025BE" w:rsidRDefault="00B025BE" w:rsidP="00B025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4.2.8. В процессе предоставления банковских гарантий субъектам МСП и организациям инфраструктуры поддержки субъектов МСП по программе РГО соблюдать касающиеся Банка положения действующих на момент выдачи банковской гарантии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</w:p>
    <w:p w:rsidR="00B025BE" w:rsidRDefault="00B025BE" w:rsidP="00B025BE">
      <w:pPr>
        <w:ind w:firstLine="709"/>
        <w:jc w:val="both"/>
        <w:rPr>
          <w:rFonts w:eastAsia="Calibri"/>
        </w:rPr>
      </w:pPr>
      <w:r>
        <w:rPr>
          <w:sz w:val="26"/>
          <w:szCs w:val="26"/>
        </w:rPr>
        <w:t xml:space="preserve">4.2.9. </w:t>
      </w:r>
      <w:proofErr w:type="gramStart"/>
      <w:r>
        <w:rPr>
          <w:sz w:val="26"/>
          <w:szCs w:val="26"/>
        </w:rPr>
        <w:t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proofErr w:type="gramEnd"/>
    </w:p>
    <w:p w:rsidR="00B025BE" w:rsidRDefault="00B025BE" w:rsidP="00B025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4.2.10. По запросу РГО предоставлять иные сведения и (или) документы, касающиеся деятельности </w:t>
      </w:r>
      <w:proofErr w:type="gramStart"/>
      <w:r>
        <w:rPr>
          <w:sz w:val="26"/>
          <w:szCs w:val="26"/>
        </w:rPr>
        <w:t>Банка</w:t>
      </w:r>
      <w:proofErr w:type="gramEnd"/>
      <w:r>
        <w:rPr>
          <w:sz w:val="26"/>
          <w:szCs w:val="26"/>
        </w:rPr>
        <w:t xml:space="preserve"> в том числе по договорам о предоставлении банковской гарантии, обеспеченным поручительством, если это не противоречит требованиям действующего законодательства Российской Федерации.</w:t>
      </w:r>
    </w:p>
    <w:p w:rsidR="00B025BE" w:rsidRDefault="00B025BE" w:rsidP="00B025BE">
      <w:pPr>
        <w:jc w:val="center"/>
        <w:rPr>
          <w:rFonts w:eastAsia="Calibri"/>
          <w:sz w:val="26"/>
          <w:szCs w:val="26"/>
        </w:rPr>
      </w:pPr>
    </w:p>
    <w:p w:rsidR="00B025BE" w:rsidRDefault="00B025BE" w:rsidP="00B025BE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5. Другие договорённости</w:t>
      </w:r>
    </w:p>
    <w:p w:rsidR="00B025BE" w:rsidRDefault="00B025BE" w:rsidP="00B025BE">
      <w:pPr>
        <w:jc w:val="center"/>
        <w:rPr>
          <w:rFonts w:eastAsia="Calibri"/>
          <w:sz w:val="26"/>
          <w:szCs w:val="26"/>
        </w:rPr>
      </w:pPr>
    </w:p>
    <w:p w:rsidR="00B025BE" w:rsidRDefault="00B025BE" w:rsidP="00B025B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5.1. Стороны также договорились:</w:t>
      </w:r>
    </w:p>
    <w:p w:rsidR="00B025BE" w:rsidRDefault="00B025BE" w:rsidP="00B025BE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5.1.1. О сотрудничестве в сфере проведения семинаров и презентаций для субъектов МСП </w:t>
      </w:r>
      <w:r>
        <w:rPr>
          <w:sz w:val="26"/>
          <w:szCs w:val="26"/>
        </w:rPr>
        <w:t>и организаций инфраструктуры поддержки субъектов МСП</w:t>
      </w:r>
      <w:r>
        <w:rPr>
          <w:rFonts w:eastAsia="Calibri"/>
          <w:sz w:val="26"/>
          <w:szCs w:val="26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B025BE" w:rsidRDefault="00B025BE" w:rsidP="00B025BE">
      <w:pPr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5.1.2. О проведении совместных информационных компаний, направленных на информирование субъектов МСП </w:t>
      </w:r>
      <w:r>
        <w:rPr>
          <w:sz w:val="26"/>
          <w:szCs w:val="26"/>
        </w:rPr>
        <w:t>и организаций инфраструктуры поддержки субъектов МСП</w:t>
      </w:r>
      <w:r>
        <w:rPr>
          <w:rFonts w:eastAsia="Calibri"/>
          <w:sz w:val="26"/>
          <w:szCs w:val="26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B025BE" w:rsidRDefault="00B025BE" w:rsidP="00B025BE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5.1.3. О</w:t>
      </w:r>
      <w:r>
        <w:rPr>
          <w:rFonts w:ascii="Calibri" w:eastAsia="Calibri" w:hAnsi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взаимном консультировании по вопросам развития субъектов МСП </w:t>
      </w:r>
      <w:r>
        <w:rPr>
          <w:sz w:val="26"/>
          <w:szCs w:val="26"/>
        </w:rPr>
        <w:t>и организаций инфраструктуры поддержки субъектов МСП</w:t>
      </w:r>
      <w:r>
        <w:rPr>
          <w:rFonts w:eastAsia="Calibri"/>
          <w:sz w:val="26"/>
          <w:szCs w:val="26"/>
        </w:rPr>
        <w:t>.</w:t>
      </w:r>
    </w:p>
    <w:p w:rsidR="00B025BE" w:rsidRDefault="00B025BE" w:rsidP="00B025BE">
      <w:pPr>
        <w:keepNext/>
        <w:keepLines/>
        <w:jc w:val="both"/>
        <w:outlineLvl w:val="0"/>
        <w:rPr>
          <w:rFonts w:ascii="Cambria" w:hAnsi="Cambria"/>
          <w:bCs/>
          <w:sz w:val="26"/>
          <w:szCs w:val="26"/>
        </w:rPr>
      </w:pP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Условия конфиденциальности</w:t>
      </w:r>
    </w:p>
    <w:p w:rsidR="00B025BE" w:rsidRDefault="00B025BE" w:rsidP="00B025BE">
      <w:pPr>
        <w:jc w:val="center"/>
        <w:rPr>
          <w:sz w:val="26"/>
          <w:szCs w:val="26"/>
        </w:rPr>
      </w:pPr>
    </w:p>
    <w:p w:rsidR="00B025BE" w:rsidRDefault="00B025BE" w:rsidP="00B025B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B025BE" w:rsidRDefault="00B025BE" w:rsidP="00B025BE">
      <w:pPr>
        <w:ind w:firstLine="540"/>
        <w:jc w:val="both"/>
        <w:rPr>
          <w:sz w:val="26"/>
          <w:szCs w:val="26"/>
        </w:rPr>
      </w:pPr>
    </w:p>
    <w:p w:rsidR="00B025BE" w:rsidRDefault="00B025BE" w:rsidP="00B025BE">
      <w:pPr>
        <w:keepNext/>
        <w:keepLines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7. Заключительные положения</w:t>
      </w:r>
    </w:p>
    <w:p w:rsidR="00B025BE" w:rsidRDefault="00B025BE" w:rsidP="00B025BE">
      <w:pPr>
        <w:rPr>
          <w:sz w:val="26"/>
          <w:szCs w:val="26"/>
        </w:rPr>
      </w:pP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Настоящее Соглашение вступает в силу с момента подписания его Сторонами и действует бессрочно. 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Расторжение настоящего Соглашения не влечёт за собой расторжения действующих договоров поручительства.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Расторжение настоящего Соглашения не накладывает на Стороны никаких финансовых обязательств.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B025BE" w:rsidRDefault="00B025BE" w:rsidP="00B02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025BE" w:rsidRDefault="00B025BE" w:rsidP="00B025BE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p w:rsidR="00B025BE" w:rsidRDefault="00B025BE" w:rsidP="00B02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Адреса, реквизиты и подписи Сторон:</w:t>
      </w:r>
    </w:p>
    <w:p w:rsidR="00B025BE" w:rsidRDefault="00B025BE" w:rsidP="00B025BE">
      <w:pPr>
        <w:jc w:val="center"/>
        <w:rPr>
          <w:sz w:val="26"/>
          <w:szCs w:val="26"/>
        </w:rPr>
      </w:pP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5528"/>
        <w:gridCol w:w="3685"/>
      </w:tblGrid>
      <w:tr w:rsidR="00B025BE" w:rsidTr="00922976">
        <w:tc>
          <w:tcPr>
            <w:tcW w:w="5528" w:type="dxa"/>
          </w:tcPr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rFonts w:hint="eastAsia"/>
                <w:b/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lastRenderedPageBreak/>
              <w:t>БАНК: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5" w:type="dxa"/>
          </w:tcPr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t>АГЕНТСТВО: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АНО «АРСГ НО»</w:t>
            </w:r>
          </w:p>
        </w:tc>
      </w:tr>
      <w:tr w:rsidR="00B025BE" w:rsidTr="00922976">
        <w:trPr>
          <w:trHeight w:val="6033"/>
        </w:trPr>
        <w:tc>
          <w:tcPr>
            <w:tcW w:w="5528" w:type="dxa"/>
          </w:tcPr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t>БАНК: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 xml:space="preserve">_______________________/____________/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М.П.</w:t>
            </w:r>
          </w:p>
        </w:tc>
        <w:tc>
          <w:tcPr>
            <w:tcW w:w="3685" w:type="dxa"/>
          </w:tcPr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ИНН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 5260248556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 xml:space="preserve">КПП </w:t>
            </w:r>
            <w:r>
              <w:rPr>
                <w:bCs/>
                <w:iCs/>
                <w:spacing w:val="2"/>
                <w:sz w:val="22"/>
                <w:szCs w:val="22"/>
              </w:rPr>
              <w:t>526001001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 xml:space="preserve">ОГРН </w:t>
            </w:r>
            <w:r>
              <w:rPr>
                <w:bCs/>
                <w:iCs/>
                <w:spacing w:val="2"/>
                <w:sz w:val="22"/>
                <w:szCs w:val="22"/>
              </w:rPr>
              <w:t>1095200000884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  <w:u w:val="single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Юридический адрес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: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 xml:space="preserve">603082, </w:t>
            </w: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г.Н.Новгород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 xml:space="preserve">,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ул</w:t>
            </w:r>
            <w:proofErr w:type="gramStart"/>
            <w:r>
              <w:rPr>
                <w:bCs/>
                <w:iCs/>
                <w:spacing w:val="2"/>
                <w:sz w:val="22"/>
                <w:szCs w:val="22"/>
              </w:rPr>
              <w:t>.К</w:t>
            </w:r>
            <w:proofErr w:type="gramEnd"/>
            <w:r>
              <w:rPr>
                <w:bCs/>
                <w:iCs/>
                <w:spacing w:val="2"/>
                <w:sz w:val="22"/>
                <w:szCs w:val="22"/>
              </w:rPr>
              <w:t>остина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>, д.2, к.126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Фактический адрес: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 xml:space="preserve">603006, </w:t>
            </w: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г.Н.Новгород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 xml:space="preserve">,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  <w:u w:val="single"/>
              </w:rPr>
            </w:pP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ул</w:t>
            </w:r>
            <w:proofErr w:type="gramStart"/>
            <w:r>
              <w:rPr>
                <w:bCs/>
                <w:iCs/>
                <w:spacing w:val="2"/>
                <w:sz w:val="22"/>
                <w:szCs w:val="22"/>
              </w:rPr>
              <w:t>.Г</w:t>
            </w:r>
            <w:proofErr w:type="gramEnd"/>
            <w:r>
              <w:rPr>
                <w:bCs/>
                <w:iCs/>
                <w:spacing w:val="2"/>
                <w:sz w:val="22"/>
                <w:szCs w:val="22"/>
              </w:rPr>
              <w:t>орького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 xml:space="preserve">, д.117, офис 1307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  <w:u w:val="single"/>
              </w:rPr>
            </w:pPr>
          </w:p>
          <w:p w:rsidR="00B025BE" w:rsidRDefault="00B025BE" w:rsidP="009229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Платежные реквизиты</w:t>
            </w:r>
            <w:r>
              <w:rPr>
                <w:sz w:val="22"/>
                <w:szCs w:val="22"/>
              </w:rPr>
              <w:t>:</w:t>
            </w:r>
          </w:p>
          <w:p w:rsidR="00B025BE" w:rsidRDefault="00B025BE" w:rsidP="00922976">
            <w:pPr>
              <w:ind w:left="-4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40701810242000000109</w:t>
            </w:r>
          </w:p>
          <w:p w:rsidR="00B025BE" w:rsidRDefault="00B025BE" w:rsidP="00922976">
            <w:pPr>
              <w:ind w:left="-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Волго-Вятском банке</w:t>
            </w:r>
          </w:p>
          <w:p w:rsidR="00B025BE" w:rsidRDefault="00B025BE" w:rsidP="00922976">
            <w:pPr>
              <w:ind w:left="-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B025BE" w:rsidRDefault="00B025BE" w:rsidP="00922976">
            <w:pPr>
              <w:ind w:left="-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ижний</w:t>
            </w:r>
            <w:proofErr w:type="spellEnd"/>
            <w:r>
              <w:rPr>
                <w:sz w:val="22"/>
                <w:szCs w:val="22"/>
              </w:rPr>
              <w:t xml:space="preserve"> Новгород </w:t>
            </w:r>
          </w:p>
          <w:p w:rsidR="00B025BE" w:rsidRDefault="00B025BE" w:rsidP="00922976">
            <w:pPr>
              <w:ind w:left="-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30101810900000000603</w:t>
            </w:r>
          </w:p>
          <w:p w:rsidR="00B025BE" w:rsidRDefault="00B025BE" w:rsidP="00922976">
            <w:pPr>
              <w:ind w:left="-4" w:right="-10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042202603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Тел./факс: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 (831) 296-09-33, 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296-09-32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t>АГЕНТСТВО</w:t>
            </w:r>
            <w:r>
              <w:rPr>
                <w:bCs/>
                <w:iCs/>
                <w:spacing w:val="2"/>
                <w:sz w:val="22"/>
                <w:szCs w:val="22"/>
              </w:rPr>
              <w:t>: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Директор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_______________ /Назаров А.И./</w:t>
            </w:r>
          </w:p>
          <w:p w:rsidR="00B025BE" w:rsidRDefault="00B025BE" w:rsidP="00922976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М.П.</w:t>
            </w:r>
          </w:p>
        </w:tc>
      </w:tr>
    </w:tbl>
    <w:p w:rsidR="005C6ABB" w:rsidRDefault="005C6ABB">
      <w:bookmarkStart w:id="0" w:name="_GoBack"/>
      <w:bookmarkEnd w:id="0"/>
    </w:p>
    <w:sectPr w:rsidR="005C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2"/>
    <w:rsid w:val="000A4C12"/>
    <w:rsid w:val="005C6ABB"/>
    <w:rsid w:val="00B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25BE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25B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10197</Characters>
  <Application>Microsoft Office Word</Application>
  <DocSecurity>0</DocSecurity>
  <Lines>84</Lines>
  <Paragraphs>23</Paragraphs>
  <ScaleCrop>false</ScaleCrop>
  <Company>Grizli777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</cp:revision>
  <dcterms:created xsi:type="dcterms:W3CDTF">2018-06-06T11:15:00Z</dcterms:created>
  <dcterms:modified xsi:type="dcterms:W3CDTF">2018-06-06T11:16:00Z</dcterms:modified>
</cp:coreProperties>
</file>